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jc w:val="center"/>
        <w:rPr/>
      </w:pPr>
      <w:r>
        <w:rPr>
          <w:rFonts w:cs="Courier New" w:ascii="Courier New" w:hAnsi="Courier New"/>
          <w:b/>
          <w:color w:val="000000"/>
          <w:sz w:val="22"/>
          <w:szCs w:val="22"/>
        </w:rPr>
        <w:t xml:space="preserve">CAPÍTULO IX </w:t>
        <w:br/>
        <w:t>Da Classificação para Atribuição de Classes e/ou Aulas</w:t>
      </w:r>
    </w:p>
    <w:p>
      <w:pPr>
        <w:pStyle w:val="Western"/>
        <w:spacing w:before="0" w:after="0"/>
        <w:jc w:val="center"/>
        <w:rPr>
          <w:rFonts w:ascii="Courier New" w:hAnsi="Courier New" w:cs="Courier New"/>
          <w:b/>
          <w:b/>
          <w:color w:val="000000"/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Artigo 45</w:t>
      </w:r>
      <w:r>
        <w:rPr>
          <w:rFonts w:cs="Courier New" w:ascii="Courier New" w:hAnsi="Courier New"/>
          <w:color w:val="000000"/>
          <w:sz w:val="22"/>
          <w:szCs w:val="22"/>
        </w:rPr>
        <w:t xml:space="preserve"> – Para fins de atribuição de classes ou aulas, os docentes do mesmo campo de atuação das classes ou das aulas a serem atribuídas serão classificados, observada a seguinte ordem de preferência: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 – quanto à situação funcional: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Faixa I: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a) os titulares de cargos, providos mediante concurso de provas e títulos, correspondentes aos componentes curriculares das aulas ou classes serem atribuídas;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b) os titulares de cargos destinados, na forma da legislação específica, correspondentes aos componentes curriculares das aulas a serem atribuídas, desde que os cargos das disciplinas suprimidas tenham sido providos mediante concurso de provas e títulos;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c) os demais titulares de cargos correspondentes aos componentes curriculares das aulas ou classes a serem atribuídas.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Faixa 2 ( Vetado)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a) vetado;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b) vetado.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Faixa 3: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Os Servidores a que se refere o artigo 205 da Lei Complementar nº 180, de 12 de maio de 1.978, ocupantes de função-atividade, correspondente ao componente curricular das aulas ou classes a serem atribuídas, em conformidade com critérios a serem fixados em regulamento.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 – quanto à habilitação: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a) a específica do cargo ou função-atividade;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b) a não específica.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III – quanto ao tempo de serviço: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a) os que contarem maior tempo de serviço na unidade escolar como docentes no campo de atuação referente a aulas e/ou classes a serem atribuídas;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b) os que contarem maior tempo de serviço no cargo ou função-atividade com docentes no campo de atuação referente a aulas e/ou classes a serem atribuídas;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c) os que contarem maior tempo de serviço no Magistério Público Oficial de 1º e/ou 2º Graus da Secretaria de Estado da Educação de São Paulo, em função docente, no campo de atuação referente às aulas e/ou classes a serem atribuídas.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IV – quanto aos títulos: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a) certificado de aprovação em concurso público de provas e títulos, específico dos componentes curriculares correspondentes às aulas e/ou classes a serem atribuídas;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b) diplomas de Mestre e Doutor, correspondentes ao campo de atuação relativo às aulas e/ou classes a serem atribuídas.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1º – A primeira fase de atribuição, para os inscritos em cada faixa, dar-se-á na unidade escolar em que estão classificados os cargos ou as funções-atividades.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2º – Na Segunda fase de atribuição, correspondente a cada faixa, a ser realizada a nível de município ou de Delegacia de Ensino, concorrerão os docentes que já participaram da primeira fase, observado o disposto nos incisos I, II, III e IV deste artigo.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3º – Somente após esgotada a possibilidade de atribuição das aulas para as quais estiver prioritariamente classificado, poderá o docente pleitear aulas de outros componentes curriculares, observada sempre a habilitação exigida.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4º – A Secretaria de Estado da Educação expedirá normas complementares necessárias ao cumprimento deste artigo, estabelecendo, inclusive, as ponderações quanto ao tempo de serviço e valores dos títulos.</w:t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Western"/>
        <w:pBdr>
          <w:bottom w:val="single" w:sz="2" w:space="2" w:color="000000"/>
        </w:pBdr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="0" w:after="0"/>
        <w:jc w:val="center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SEÇÃO I</w:t>
        <w:br/>
        <w:t>Dos Direitos</w:t>
      </w:r>
    </w:p>
    <w:p>
      <w:pPr>
        <w:pStyle w:val="Western"/>
        <w:spacing w:lineRule="auto" w:line="276" w:before="0" w:after="0"/>
        <w:jc w:val="center"/>
        <w:rPr>
          <w:rFonts w:ascii="Courier New" w:hAnsi="Courier New" w:cs="Courier New"/>
          <w:b/>
          <w:b/>
          <w:color w:val="000000"/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Artigo 61</w:t>
      </w:r>
      <w:r>
        <w:rPr>
          <w:rFonts w:cs="Courier New" w:ascii="Courier New" w:hAnsi="Courier New"/>
          <w:color w:val="000000"/>
          <w:sz w:val="22"/>
          <w:szCs w:val="22"/>
        </w:rPr>
        <w:t xml:space="preserve"> – Além dos previstos em outras normas, são direitos do integrante do Quadro do Magistério: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 – ter a seu alcance informações educacionais, bibliografia, material didático e outros instrumentos bem como contar com assistência técnica que auxilie e estimule a melhoria de seu desempenho profissional e a ampliação de seus conhecimentos;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 – ter assegurada a oportunidade de freqüentar cursos de formação, atualização e especialização profissional;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III – dispor, no ambiente de trabalho, de instalações e material técnico-pedagógico suficientes e adequados para que possa exercer com eficiência e eficácia suas funções;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IV – ter liberdade de escolha e de utilização de materiais, de procedimentos didáticos e de instrumento de avaliação do processo ensino-aprendizagem, dentro dos princípios psico-pedagógicos, objetivando alicerçar o respeito à pessoa humana e, a construção do bem comum;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 – receber remuneração de acordo com a classe, nível de habilitação, tempo de serviço e regime de trabalho, conforme o estabelecido por esta lei.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 – receber remuneração por serviço extraordinário, desde que devidamente convocado para tal fim, independentemente da classe a que pertencer;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VII – receber auxílio para a publicação de trabalhos e livros didáticos ou técnico-científicos, quando solicitado e aprovado pela Administração;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VIII – ter assegurada a igualdade de tratamento no plano técnico-pedagógico, independentemente do regime jurídico a que estiver sujeito;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IX – receber, através dos serviços especializados de educação, assistência ao exercício profissional;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 – participar, como integrante do Conselho de Escola, dos estudos e deliberações que afetam o processo educacional;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 – participar do processo de planejamento, execução e avaliação das atividades escolares;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XII – reunir-se na unidade escolar, para tratar de assuntos de interesse da categoria e da educação em geral, sem prejuízo das atividades escolares.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XIII – vetado.</w:t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Artigo 62</w:t>
      </w:r>
      <w:r>
        <w:rPr>
          <w:rFonts w:cs="Courier New" w:ascii="Courier New" w:hAnsi="Courier New"/>
          <w:color w:val="000000"/>
          <w:sz w:val="22"/>
          <w:szCs w:val="22"/>
        </w:rPr>
        <w:t xml:space="preserve"> – Os docentes em exercício nas unidades escolares gozarão férias de acordo com o Calendário Escolar.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Parágrafo único — Aplicar-se-ão as disposições do “caput” ao docente readaptado com exercício nas unidades escolares.</w:t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center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SEÇÃO II</w:t>
        <w:br/>
        <w:t>Dos Deveres</w:t>
      </w:r>
    </w:p>
    <w:p>
      <w:pPr>
        <w:pStyle w:val="Western"/>
        <w:spacing w:lineRule="auto" w:line="276" w:before="0" w:after="0"/>
        <w:jc w:val="center"/>
        <w:rPr>
          <w:rFonts w:ascii="Courier New" w:hAnsi="Courier New" w:cs="Courier New"/>
          <w:b/>
          <w:b/>
          <w:color w:val="000000"/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Artigo 63</w:t>
      </w:r>
      <w:r>
        <w:rPr>
          <w:rFonts w:cs="Courier New" w:ascii="Courier New" w:hAnsi="Courier New"/>
          <w:color w:val="000000"/>
          <w:sz w:val="22"/>
          <w:szCs w:val="22"/>
        </w:rPr>
        <w:t xml:space="preserve"> – O integrante do Quadro do Magistério tem o dever constante de considerar a relevância social de suas atribuições mantendo conduta moral e funcional adequada à dignidade profissional, em razão da qual, além das obrigações previstas em outras normas, deverá: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 – conhecer e respeitar as leis;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 – preservar os princípios, os ideais e fins da Educação Brasileira, através de seu desempenho profissional;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III – empenhar-se em prol do desenvolvimento do aluno, utilizando processos que acompanhem o progresso científico da educação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IV – participar das atividades educacionais que lhe forem atribuídas por força de suas funções;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 – comparecer ao local de trabalho com assiduidade e pontualidade, executando suas tarefas com eficiência, zelo e presteza;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 – manter espírito de cooperação e solidariedade com a equipe escolar e a comunidade em geral;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VII – incentivar a participação, o diálogo e a cooperação entre educandos, demais educadores e a comunidade em geral, visando à construção de uma sociedade democrática;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VIII – assegurar o desenvolvimento do senso crítico e da consciência política do educando;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IX – respeitar o aluno como sujeito do processo educativo e comprometer-se com eficácia de seu aprendizado;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 – comunicar à autoridade imediata as irregularidades de que tiver conhecimento, na sua área de atuação, ou, às autoridades superiores, no caso de omissão por parte da primeira;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 – zelar pela defesa dos direitos profissionais e pela reputação da categoria profissional;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XII – fornecer elementos para a permanente atualização de seus assentamentos, junto aos órgãos da Administração;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XIII – considerar os princípios psico-pedagógicos, a realidade sócio-econômica da clientela escolar e as diretrizes da Política Educacional da escolha e utilização de materiais, procedimentos didáticos e instrumentos de avaliação do processo ensino-aprendizagem;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XIV – participar do Conselho de Escola;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XV – participar do processo de planejamento, execução e avaliação das atividades escolares;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Parágrafo único</w:t>
      </w:r>
      <w:r>
        <w:rPr>
          <w:rFonts w:cs="Courier New" w:ascii="Courier New" w:hAnsi="Courier New"/>
          <w:color w:val="000000"/>
          <w:sz w:val="22"/>
          <w:szCs w:val="22"/>
        </w:rPr>
        <w:t xml:space="preserve"> – Constitui falta grave do integrante do Quadro do Magistério impedir que o aluno participe das atividades escolares em razão de qualquer carência material.</w:t>
      </w:r>
    </w:p>
    <w:p>
      <w:pPr>
        <w:pStyle w:val="Western"/>
        <w:spacing w:lineRule="auto" w:line="276" w:before="0" w:after="0"/>
        <w:jc w:val="center"/>
        <w:rPr>
          <w:rFonts w:ascii="Courier New" w:hAnsi="Courier New" w:cs="Courier New"/>
          <w:b/>
          <w:b/>
          <w:color w:val="000000"/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center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CAPÍTULO XII</w:t>
        <w:br/>
        <w:t>Dos Afastamentos</w:t>
      </w:r>
    </w:p>
    <w:p>
      <w:pPr>
        <w:pStyle w:val="Western"/>
        <w:spacing w:lineRule="auto" w:line="276" w:before="0" w:after="0"/>
        <w:jc w:val="center"/>
        <w:rPr>
          <w:rFonts w:ascii="Courier New" w:hAnsi="Courier New" w:cs="Courier New"/>
          <w:b/>
          <w:b/>
          <w:color w:val="000000"/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Artigo 64</w:t>
      </w:r>
      <w:r>
        <w:rPr>
          <w:rFonts w:cs="Courier New" w:ascii="Courier New" w:hAnsi="Courier New"/>
          <w:color w:val="000000"/>
          <w:sz w:val="22"/>
          <w:szCs w:val="22"/>
        </w:rPr>
        <w:t xml:space="preserve"> – O docente e/ou especialista de educação poderão ser afastados do exercício de seu cargo, respeitado o interesse da Administração Estadual, para os seguintes fins: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 – prover cargo em comissão;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 – exercer atividades inerentes ou correlatas às de Magistério, em cargos ou funções previstos nas unidades e/ou órgãos da Secretaria de Estado da Educação e no Conselho Estadual de Educação;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III – exercer a docência em outras modalidades de ensino de 1º e 2º graus, por tempo determinado, a ser fixado em regulamento, com ou sem prejuízo de vencimentos e das demais vantagens do cargo;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IV – exercer, por tempo determinado, atividade em órgãos ou entidades da União, de outros Estados, de Municípios, em outras Secretarias de Estado de São Paulo, em Autarquias, e em outros Poderes Públicos, com ou sem prejuízo de vencimentos e das demais vantagens do cargo, mediante sua anuência, não podendo ultrapassar o limite de um funcionário para cada Estado da União e para cada Município do Estado de São Paulo;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 – exercer, junto a entidades conveniadas com a Secretaria de Estado da Educação, sem prejuízo de vencimentos e das demais vantagens do cargo, atividades inerentes às do Magistério;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 – freqüentar curso de pós-graduação, de aperfeiçoamento, especialização ou de atualização, no País ou no exterior, com ou sem prejuízo de vencimentos mas sem o das demais vantagens do cargo;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VII – desenvolver atividades junto às Entidades de Classe do Magistério Oficial de 1º e 2º graus do Estado de São Paulo, até o limite máximo de 10 (dez) dirigentes por Entidade, na forma a ser regulamentada;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VIII – exercer, por tempo determinado, a atividade docente ou correlata às de Magistério, no Sistema Carcerário do Estado, subordinado a Secretaria de Estado da Justiça, sem prejuízo de vencimentos e das demais vantagens do cargo.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IX – exercer cargo ou substituir ocupante de cargo, quando este estiver afastado, desde que de mesma classe, classificado em área de jurisdição de qualquer Delegacia de Ensino.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br/>
        <w:t>“X – exercer atividades docentes, ou de suporte pedagógico, junto a Municípios conveniados com o Estado para municipalização do ensino, sem prejuízo de vencimentos e sem prejuízo das demais vantagens do cargo, ou com prejuízo de vencimentos com expressa opção do servidor. Na hipótese de o afastamento ocorrer sem prejuízo de vencimentos, o Município ressarcirá ao Estado os valores referentes aos respectivos contra-cheques, bem como aos encargos sociais correspondentes, com recursos provenientes do repasse do Fundo de Desenvolvimento e Manutenção do Ensino Fundamental.”</w:t>
      </w:r>
    </w:p>
    <w:p>
      <w:pPr>
        <w:pStyle w:val="Western"/>
        <w:spacing w:lineRule="auto" w:line="276" w:before="0" w:after="0"/>
        <w:jc w:val="right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Nota: o inciso X do artigo 64 foi incluído pela Lei Complementar nº 836/97.</w:t>
        <w:br/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1º – Os afastamentos referidos no inciso II serão concedidos sem prejuízo de vencimentos e das demais vantagens do cargo, devendo o especialista ou docente cumprir regime de trabalho semanal de 40 (quarenta) horas.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2º – Consideram-se atribuições inerentes às do Magistério aquelas que são próprias do cargo e da função-atividade do Quadro do Magistério.</w:t>
      </w:r>
    </w:p>
    <w:p>
      <w:pPr>
        <w:pStyle w:val="Western"/>
        <w:spacing w:lineRule="auto" w:line="276" w:before="0" w:after="0"/>
        <w:jc w:val="both"/>
        <w:rPr>
          <w:sz w:val="22"/>
          <w:szCs w:val="22"/>
        </w:rPr>
      </w:pPr>
      <w:r>
        <w:rPr>
          <w:rFonts w:cs="Courier New" w:ascii="Courier New" w:hAnsi="Courier New"/>
          <w:color w:val="000000"/>
          <w:sz w:val="22"/>
          <w:szCs w:val="22"/>
        </w:rPr>
        <w:t>§ 3º – Consideram-se atividades correlatas às de Magistério aquelas relacionadas com a docência em outras modalidades de ensino, bem como as de natureza técnica, relativas ao desenvolvimento de estudos, planejamento, pesquisas, supervisão e orientação em currículos, administração escolar, orientação educacional, capacitação de docentes, especialistas de educação, direção, assessoramento e assistência técnica, exercidas em unidades e/ou órgãos da Secretaria de Estado da Educação e do Conselho Estadual de Educação.</w:t>
      </w:r>
    </w:p>
    <w:p>
      <w:pPr>
        <w:pStyle w:val="Western"/>
        <w:pBdr>
          <w:bottom w:val="single" w:sz="2" w:space="2" w:color="000000"/>
        </w:pBdr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="0" w:after="0"/>
        <w:jc w:val="center"/>
        <w:rPr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</w:rPr>
        <w:t>CAPÍTULO XIV</w:t>
        <w:br/>
        <w:t>Da Gratificação pelo Trabalho Noturno</w:t>
      </w:r>
    </w:p>
    <w:p>
      <w:pPr>
        <w:pStyle w:val="Western"/>
        <w:spacing w:lineRule="auto" w:line="276" w:before="0" w:after="0"/>
        <w:jc w:val="center"/>
        <w:rPr>
          <w:rFonts w:ascii="Courier New" w:hAnsi="Courier New" w:cs="Courier New"/>
          <w:b/>
          <w:b/>
          <w:color w:val="000000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color w:val="000000"/>
          <w:sz w:val="22"/>
          <w:szCs w:val="22"/>
        </w:rPr>
        <w:t>"Artigo 83 - Os funcionários e servidores integrantes da série de classes de docentes e das classes de especialistas de educação, do Quadro do Magistério, enquanto atuarem no ensino de 1º e 2º graus das unidades escolares da Secretaria da Educação, no período noturno, farão jus à Gratificação por Trabalho no Curso Noturno - GTCN.";</w:t>
      </w:r>
    </w:p>
    <w:p>
      <w:pPr>
        <w:pStyle w:val="Western"/>
        <w:spacing w:lineRule="auto" w:line="276" w:before="0" w:after="0"/>
        <w:jc w:val="both"/>
        <w:rPr>
          <w:rFonts w:ascii="Courier New" w:hAnsi="Courier New" w:cs="Courier New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color w:val="000000"/>
          <w:sz w:val="22"/>
          <w:szCs w:val="22"/>
        </w:rPr>
      </w:r>
    </w:p>
    <w:p>
      <w:pPr>
        <w:pStyle w:val="Western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color w:val="000000"/>
          <w:sz w:val="22"/>
          <w:szCs w:val="22"/>
        </w:rPr>
        <w:t>Artigo 84 – Para os efeitos desta lei complementar, considerar-se-á trabalho noturno aquele que for realizado no período das 19 (dezenove) horas às 23 (vinte e três) horas.</w:t>
      </w:r>
    </w:p>
    <w:p>
      <w:pPr>
        <w:pStyle w:val="Normal"/>
        <w:spacing w:lineRule="auto" w:line="276" w:before="0" w:after="0"/>
        <w:jc w:val="both"/>
        <w:rPr>
          <w:rFonts w:ascii="Courier New" w:hAnsi="Courier New" w:cs="Courier New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"Artigo 85 - A Gratificação por Trabalho no Curso Noturno será calculada mediante aplicação dos percentuais adiante especificados sobre o valor percebido em decorrência da carga horária relativa ao trabalho no curso noturno: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I - 20% (vinte por cento), quando o docente atuar em unidades escolares da rede estadual de ensino; ou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II - 30% (trinta por cento), quando o docente atuar em unidades escolares da rede estadual de ensino, identificadas como Escolas-Padrão.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br/>
        <w:t>§ 1º - Na determinação do valor das horas-aula, para fins do disposto neste artigo, considerar-se-á a retribuição global mensal percebida pelo servidor.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§ 2º - Tratando-se de especialista de Educação, a gratificação será calculada sobre o valor que corresponder às horas de serviço prestadas no período de trabalho no curso noturno.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§ 3º - Para o fim previsto no parágrafo anterior, o valor da hora será o resultado da divisão por 240 horas (duzentas e quarenta) horas do valor da retribuição global mensal.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color w:val="000000"/>
          <w:sz w:val="22"/>
          <w:szCs w:val="22"/>
        </w:rPr>
        <w:t>§ 4º - Para fins do disposto neste artigo, considera-se retribuição global mensal a somatória de todos os valores percebidos pelo servidor, em caráter permanente, tais como o vencimento, a remuneração, o salário, o adicional por tempo de serviço, a sexta-parte, as gratificações incorporadas ou não e as demais vantagens pecuniárias, não eventuais, asseguradas pela legislação, excetuados apenas o salário-família, o salário-esposa, o adicional de insalubridade, o auxílio transporte, o adicional de transporte e o serviço extraordinário.";</w:t>
      </w:r>
    </w:p>
    <w:p>
      <w:pPr>
        <w:pStyle w:val="Normal"/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"Artigo 86 - Os funcionários e servidores integrantes do Quadro do Magistério perderão o direito à Gratificação por Trabalho no Curso Noturno quando ocorrer afastamento, licença ou ausência de qualquer natureza, salvo nas hipóteses de falta abonada, férias, licença-prêmio, licença à gestante, licença adoção, gala, nojo, júri, afastamento para participar de treinamento, orientação técnica ou curso, promovidos pela Secretaria da Educação e de licença para tratamento de saúde, neste último caso at</w:t>
      </w:r>
      <w:r>
        <w:rPr>
          <w:rFonts w:cs="Courier New" w:ascii="Courier New" w:hAnsi="Courier New"/>
          <w:b w:val="false"/>
          <w:bCs w:val="false"/>
          <w:sz w:val="22"/>
          <w:szCs w:val="22"/>
        </w:rPr>
        <w:t>é</w:t>
      </w:r>
      <w:r>
        <w:rPr>
          <w:rFonts w:cs="Courier New" w:ascii="Courier New" w:hAnsi="Courier New"/>
          <w:b w:val="false"/>
          <w:bCs w:val="false"/>
          <w:sz w:val="22"/>
          <w:szCs w:val="22"/>
        </w:rPr>
        <w:t xml:space="preserve"> o limite de 45 (quarenta e cinco) dias.";</w:t>
      </w:r>
    </w:p>
    <w:p>
      <w:pPr>
        <w:pStyle w:val="Normal"/>
        <w:spacing w:lineRule="auto" w:line="276" w:before="0" w:after="0"/>
        <w:jc w:val="both"/>
        <w:rPr>
          <w:rFonts w:ascii="Courier New" w:hAnsi="Courier New" w:cs="Courier New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</w:rPr>
        <w:t>"Artigo 87 - O valor da Gratificação por Trabalho no Curso Noturno será computado no cálculo do décimo-terceiro salário e férias.";</w:t>
      </w:r>
    </w:p>
    <w:p>
      <w:pPr>
        <w:pStyle w:val="Normal"/>
        <w:spacing w:lineRule="auto" w:line="276" w:before="0" w:after="0"/>
        <w:jc w:val="both"/>
        <w:rPr>
          <w:rFonts w:ascii="Courier New" w:hAnsi="Courier New" w:cs="Courier New"/>
          <w:color w:val="000000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 w:val="false"/>
          <w:bCs w:val="false"/>
          <w:color w:val="000000"/>
          <w:sz w:val="22"/>
          <w:szCs w:val="22"/>
        </w:rPr>
        <w:t>Artigo 88 - A Gratificação por Trabalho no Curso Noturno não se incorporará aos vencimentos ou salários para nenhum efeito.".</w:t>
      </w:r>
    </w:p>
    <w:p>
      <w:pPr>
        <w:pStyle w:val="Normal"/>
        <w:spacing w:lineRule="auto" w:line="276" w:before="0" w:after="0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cs="Courier New" w:ascii="Courier New" w:hAnsi="Courier New"/>
          <w:b/>
          <w:bCs/>
          <w:color w:val="000000"/>
          <w:sz w:val="22"/>
          <w:szCs w:val="22"/>
        </w:rPr>
        <w:t>Nota: Os artigos 83, 85, 86, 87 e 88 estão com a redação dada pela Lei Complementar nº 774, de 20 de dezembro de 1994</w:t>
      </w:r>
      <w:r>
        <w:rPr>
          <w:rFonts w:cs="Courier New" w:ascii="Courier New" w:hAnsi="Courier New"/>
          <w:b w:val="false"/>
          <w:bCs w:val="false"/>
          <w:color w:val="000000"/>
          <w:sz w:val="22"/>
          <w:szCs w:val="22"/>
        </w:rPr>
        <w:t>.</w:t>
      </w:r>
    </w:p>
    <w:sectPr>
      <w:type w:val="nextPage"/>
      <w:pgSz w:w="11906" w:h="16838"/>
      <w:pgMar w:left="1701" w:right="960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0" w:after="119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 LibreOffice_project/9b0d9b32d5dcda91d2f1a96dc04c645c450872bf</Application>
  <Pages>6</Pages>
  <Words>2105</Words>
  <Characters>11780</Characters>
  <CharactersWithSpaces>13855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2018-08-20T19:16:00Z</dcterms:created>
  <dc:creator>APEOESP</dc:creator>
  <dc:description/>
  <dc:language>pt-BR</dc:language>
  <cp:lastModifiedBy/>
  <dcterms:modified xsi:type="dcterms:W3CDTF">2018-08-21T10:08:52Z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