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B1C" w:rsidRPr="00997B1C" w:rsidRDefault="00997B1C" w:rsidP="00997B1C">
      <w:pPr>
        <w:spacing w:after="0" w:line="240" w:lineRule="auto"/>
        <w:jc w:val="center"/>
        <w:rPr>
          <w:rFonts w:ascii="Calibri" w:eastAsia="Times New Roman" w:hAnsi="Calibri" w:cs="Times New Roman"/>
          <w:color w:val="000000"/>
          <w:lang w:eastAsia="pt-BR"/>
        </w:rPr>
      </w:pPr>
      <w:r w:rsidRPr="00997B1C">
        <w:rPr>
          <w:rFonts w:ascii="Verdana" w:eastAsia="Times New Roman" w:hAnsi="Verdana" w:cs="Times New Roman"/>
          <w:b/>
          <w:bCs/>
          <w:color w:val="000000"/>
          <w:sz w:val="20"/>
          <w:szCs w:val="20"/>
          <w:lang w:eastAsia="pt-BR"/>
        </w:rPr>
        <w:t>Resolução SE-81, de 7-8-2012</w:t>
      </w:r>
    </w:p>
    <w:p w:rsidR="00997B1C" w:rsidRPr="00997B1C" w:rsidRDefault="00997B1C" w:rsidP="00997B1C">
      <w:pPr>
        <w:spacing w:after="0" w:line="240" w:lineRule="auto"/>
        <w:jc w:val="both"/>
        <w:rPr>
          <w:rFonts w:ascii="Calibri" w:eastAsia="Times New Roman" w:hAnsi="Calibri" w:cs="Times New Roman"/>
          <w:color w:val="000000"/>
          <w:lang w:eastAsia="pt-BR"/>
        </w:rPr>
      </w:pPr>
      <w:r w:rsidRPr="00997B1C">
        <w:rPr>
          <w:rFonts w:ascii="Verdana" w:eastAsia="Times New Roman" w:hAnsi="Verdana" w:cs="Times New Roman"/>
          <w:b/>
          <w:bCs/>
          <w:color w:val="000000"/>
          <w:sz w:val="20"/>
          <w:szCs w:val="20"/>
          <w:lang w:eastAsia="pt-BR"/>
        </w:rPr>
        <w:t> </w:t>
      </w:r>
    </w:p>
    <w:p w:rsidR="00997B1C" w:rsidRPr="00997B1C" w:rsidRDefault="00997B1C" w:rsidP="00997B1C">
      <w:pPr>
        <w:spacing w:after="0" w:line="240" w:lineRule="auto"/>
        <w:jc w:val="both"/>
        <w:rPr>
          <w:rFonts w:ascii="Calibri" w:eastAsia="Times New Roman" w:hAnsi="Calibri" w:cs="Times New Roman"/>
          <w:color w:val="000000"/>
          <w:lang w:eastAsia="pt-BR"/>
        </w:rPr>
      </w:pPr>
      <w:r w:rsidRPr="00997B1C">
        <w:rPr>
          <w:rFonts w:ascii="Verdana" w:eastAsia="Times New Roman" w:hAnsi="Verdana" w:cs="Times New Roman"/>
          <w:b/>
          <w:bCs/>
          <w:color w:val="000000"/>
          <w:sz w:val="20"/>
          <w:szCs w:val="20"/>
          <w:lang w:eastAsia="pt-BR"/>
        </w:rPr>
        <w:t> </w:t>
      </w:r>
    </w:p>
    <w:p w:rsidR="00997B1C" w:rsidRPr="00997B1C" w:rsidRDefault="00997B1C" w:rsidP="00997B1C">
      <w:pPr>
        <w:spacing w:after="0" w:line="240" w:lineRule="auto"/>
        <w:jc w:val="center"/>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w:t>
      </w:r>
    </w:p>
    <w:p w:rsidR="00997B1C" w:rsidRPr="00997B1C" w:rsidRDefault="00997B1C" w:rsidP="00997B1C">
      <w:pPr>
        <w:spacing w:after="0" w:line="240" w:lineRule="auto"/>
        <w:jc w:val="center"/>
        <w:rPr>
          <w:rFonts w:ascii="Calibri" w:eastAsia="Times New Roman" w:hAnsi="Calibri" w:cs="Times New Roman"/>
          <w:color w:val="000000"/>
          <w:lang w:eastAsia="pt-BR"/>
        </w:rPr>
      </w:pPr>
      <w:r w:rsidRPr="00997B1C">
        <w:rPr>
          <w:rFonts w:ascii="Verdana" w:eastAsia="Times New Roman" w:hAnsi="Verdana" w:cs="Times New Roman"/>
          <w:i/>
          <w:iCs/>
          <w:color w:val="000000"/>
          <w:sz w:val="20"/>
          <w:szCs w:val="20"/>
          <w:lang w:eastAsia="pt-BR"/>
        </w:rPr>
        <w:t>Dispõe sobre o processo de aceleração de estudos para alunos com altas habilidades/superdotação na rede estadual de ensino e dá providências correlatas</w:t>
      </w:r>
    </w:p>
    <w:p w:rsidR="00997B1C" w:rsidRPr="00997B1C" w:rsidRDefault="00997B1C" w:rsidP="00997B1C">
      <w:pPr>
        <w:spacing w:after="0" w:line="240" w:lineRule="auto"/>
        <w:jc w:val="both"/>
        <w:rPr>
          <w:rFonts w:ascii="Calibri" w:eastAsia="Times New Roman" w:hAnsi="Calibri" w:cs="Times New Roman"/>
          <w:color w:val="000000"/>
          <w:lang w:eastAsia="pt-BR"/>
        </w:rPr>
      </w:pPr>
      <w:r w:rsidRPr="00997B1C">
        <w:rPr>
          <w:rFonts w:ascii="Verdana" w:eastAsia="Times New Roman" w:hAnsi="Verdana" w:cs="Times New Roman"/>
          <w:b/>
          <w:bCs/>
          <w:i/>
          <w:iCs/>
          <w:color w:val="000000"/>
          <w:sz w:val="20"/>
          <w:szCs w:val="20"/>
          <w:lang w:eastAsia="pt-BR"/>
        </w:rPr>
        <w:t> </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O Secretário da Educação, à vista do que lhe representou a Coordenadora da Coordenadoria de Gestão da Educação Básica – CGEB, em conformidade com o disposto na Lei nº 9.394/96 de Diretrizes e Bases da Educação Nacional - LDB, no Parecer CNE/CEB nº 17/01, na Resolução CNE/CEB nº 2/01, na Deliberação CEE/CEB nº 68/07, na Política Nacional de Educação Especial na Perspectiva Inclusiva de 2008, na Resolução CNE/CEB nº 4/09, e na Resolução SE nº 11/08, alterada pela Resolução SE nº 31/08, e considerando: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 </w:t>
      </w:r>
      <w:proofErr w:type="gramStart"/>
      <w:r w:rsidRPr="00997B1C">
        <w:rPr>
          <w:rFonts w:ascii="Verdana" w:eastAsia="Times New Roman" w:hAnsi="Verdana" w:cs="Times New Roman"/>
          <w:color w:val="000000"/>
          <w:sz w:val="20"/>
          <w:szCs w:val="20"/>
          <w:lang w:eastAsia="pt-BR"/>
        </w:rPr>
        <w:t>a</w:t>
      </w:r>
      <w:proofErr w:type="gramEnd"/>
      <w:r w:rsidRPr="00997B1C">
        <w:rPr>
          <w:rFonts w:ascii="Verdana" w:eastAsia="Times New Roman" w:hAnsi="Verdana" w:cs="Times New Roman"/>
          <w:color w:val="000000"/>
          <w:sz w:val="20"/>
          <w:szCs w:val="20"/>
          <w:lang w:eastAsia="pt-BR"/>
        </w:rPr>
        <w:t xml:space="preserve"> importância que o atendimento a alunos com altas habilidades/superdotação representa na implementação da política </w:t>
      </w:r>
      <w:proofErr w:type="spellStart"/>
      <w:r w:rsidRPr="00997B1C">
        <w:rPr>
          <w:rFonts w:ascii="Verdana" w:eastAsia="Times New Roman" w:hAnsi="Verdana" w:cs="Times New Roman"/>
          <w:color w:val="000000"/>
          <w:sz w:val="20"/>
          <w:szCs w:val="20"/>
          <w:lang w:eastAsia="pt-BR"/>
        </w:rPr>
        <w:t>publica</w:t>
      </w:r>
      <w:proofErr w:type="spellEnd"/>
      <w:r w:rsidRPr="00997B1C">
        <w:rPr>
          <w:rFonts w:ascii="Verdana" w:eastAsia="Times New Roman" w:hAnsi="Verdana" w:cs="Times New Roman"/>
          <w:color w:val="000000"/>
          <w:sz w:val="20"/>
          <w:szCs w:val="20"/>
          <w:lang w:eastAsia="pt-BR"/>
        </w:rPr>
        <w:t xml:space="preserve"> voltada para a inclusão educacional dos alunos das escolas da rede estadual de ensino;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 </w:t>
      </w:r>
      <w:proofErr w:type="gramStart"/>
      <w:r w:rsidRPr="00997B1C">
        <w:rPr>
          <w:rFonts w:ascii="Verdana" w:eastAsia="Times New Roman" w:hAnsi="Verdana" w:cs="Times New Roman"/>
          <w:color w:val="000000"/>
          <w:sz w:val="20"/>
          <w:szCs w:val="20"/>
          <w:lang w:eastAsia="pt-BR"/>
        </w:rPr>
        <w:t>a</w:t>
      </w:r>
      <w:proofErr w:type="gramEnd"/>
      <w:r w:rsidRPr="00997B1C">
        <w:rPr>
          <w:rFonts w:ascii="Verdana" w:eastAsia="Times New Roman" w:hAnsi="Verdana" w:cs="Times New Roman"/>
          <w:color w:val="000000"/>
          <w:sz w:val="20"/>
          <w:szCs w:val="20"/>
          <w:lang w:eastAsia="pt-BR"/>
        </w:rPr>
        <w:t xml:space="preserve"> pluralidade de avanços contínuos de que se reveste o processo de aceleração de estudos, como mecanismo de flexibilização de estratégias educacionais que respeita a diversidade de habilidades e ritmos de aprendizagem de alunos identificados como tendo altas habilidades/superdotação; e</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 </w:t>
      </w:r>
      <w:proofErr w:type="gramStart"/>
      <w:r w:rsidRPr="00997B1C">
        <w:rPr>
          <w:rFonts w:ascii="Verdana" w:eastAsia="Times New Roman" w:hAnsi="Verdana" w:cs="Times New Roman"/>
          <w:color w:val="000000"/>
          <w:sz w:val="20"/>
          <w:szCs w:val="20"/>
          <w:lang w:eastAsia="pt-BR"/>
        </w:rPr>
        <w:t>a</w:t>
      </w:r>
      <w:proofErr w:type="gramEnd"/>
      <w:r w:rsidRPr="00997B1C">
        <w:rPr>
          <w:rFonts w:ascii="Verdana" w:eastAsia="Times New Roman" w:hAnsi="Verdana" w:cs="Times New Roman"/>
          <w:color w:val="000000"/>
          <w:sz w:val="20"/>
          <w:szCs w:val="20"/>
          <w:lang w:eastAsia="pt-BR"/>
        </w:rPr>
        <w:t xml:space="preserve"> necessidade de estabelecer critérios e procedimentos operacionais que subsidiem as unidades escolares na identificação e atendimento desses alunos, bem como na adoção de mecanismos que lhes assegurem efetivas oportunidades de aceleração de estudos,</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Resolve:</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1º - São considerados alunos com altas habilidades/superdotação, aqueles que apresentam potencial elevado e grande envolvimento com áreas do conhecimento humano, isoladas ou combinadas, tais como as áreas intelectual, acadêmica, psicomotora, de liderança e de criatividade, associados a um alto grau de motivação para a aprendizagem e para a realização de tarefas em assuntos de seu interesse.</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Parágrafo único - Os alunos com altas habilidades/superdotação deverão ser matriculados em classes comuns do ensino fundamental ou médio das escolas estaduais, ficando-lhes assegurado atendimento escolar adequado à especificidade das necessidades educacionais que lhes forem apontadas pela avaliação pedagógica a ser realizada pela escola.</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2º - Caberá à Diretoria de Ensino a coordenação geral do processo de atendimento e regularização da vida escolar de alunos com altas habilidades/superdotação, acompanhando e orientando as respectivas unidades escolares na implementação das diretrizes contidas na presente resolução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3º - O atendimento ao aluno com altas habilidades/superdotação, deverá se pautar:</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I – rotineira e basicamente, pelo aprofundamento e/ou enriquecimento curricular que promovam, em horário de aula ou em turno diverso, o desenvolvimento de atividades voltadas às potencialidades e interesses apresentados pelo aluno, articuladamente aos demais programas e projetos da Pasta ou, em interface com instituições de ensino superior e institutos voltados ao desenvolvimento e promoção da pesquisa, das artes e dos esportes;</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II - </w:t>
      </w:r>
      <w:proofErr w:type="gramStart"/>
      <w:r w:rsidRPr="00997B1C">
        <w:rPr>
          <w:rFonts w:ascii="Verdana" w:eastAsia="Times New Roman" w:hAnsi="Verdana" w:cs="Times New Roman"/>
          <w:color w:val="000000"/>
          <w:sz w:val="20"/>
          <w:szCs w:val="20"/>
          <w:lang w:eastAsia="pt-BR"/>
        </w:rPr>
        <w:t>pelo</w:t>
      </w:r>
      <w:proofErr w:type="gramEnd"/>
      <w:r w:rsidRPr="00997B1C">
        <w:rPr>
          <w:rFonts w:ascii="Verdana" w:eastAsia="Times New Roman" w:hAnsi="Verdana" w:cs="Times New Roman"/>
          <w:color w:val="000000"/>
          <w:sz w:val="20"/>
          <w:szCs w:val="20"/>
          <w:lang w:eastAsia="pt-BR"/>
        </w:rPr>
        <w:t xml:space="preserve"> entendimento de que:</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lastRenderedPageBreak/>
        <w:t>  a) o processo de aceleração/avanço de estudos não se constitui mero e usual mecanismo de abreviação do tempo de conclusão de determinado ano ou etapa de estudos;</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b) a possibilidade de matrícula do aluno em ano mais avançado, compatível com seu desempenho escolar e sua maturidade </w:t>
      </w:r>
      <w:proofErr w:type="spellStart"/>
      <w:r w:rsidRPr="00997B1C">
        <w:rPr>
          <w:rFonts w:ascii="Verdana" w:eastAsia="Times New Roman" w:hAnsi="Verdana" w:cs="Times New Roman"/>
          <w:color w:val="000000"/>
          <w:sz w:val="20"/>
          <w:szCs w:val="20"/>
          <w:lang w:eastAsia="pt-BR"/>
        </w:rPr>
        <w:t>sócio-emocional</w:t>
      </w:r>
      <w:proofErr w:type="spellEnd"/>
      <w:r w:rsidRPr="00997B1C">
        <w:rPr>
          <w:rFonts w:ascii="Verdana" w:eastAsia="Times New Roman" w:hAnsi="Verdana" w:cs="Times New Roman"/>
          <w:color w:val="000000"/>
          <w:sz w:val="20"/>
          <w:szCs w:val="20"/>
          <w:lang w:eastAsia="pt-BR"/>
        </w:rPr>
        <w:t>, não poderá ultrapassar, em qualquer caso ou situação, 2 (dois) anos da sua idade ou do ano do segmento de ensino em que se encontre matriculado;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c) a matrícula inicial do aluno no ensino fundamental, independentemente das avaliações psicológica e pedagógica realizadas, deverá ocorrer sempre no 1º ano;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d) a matrícula do aluno no 1º ano do ensino fundamental, com parecer conclusivo para matrícula em ano mais avançado, do mesmo segmento de ensino, resultará da aplicação, no 1º bimestre letivo, do mecanismo de reclassificação que colocará o aluno no ano recomendado por esse parecer;</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e) o aluno que não venha a concluir os estudos do ensino fundamental em razão de aceleração de estudos, com matrícula efetuada em qualquer série do ensino médio, não fará jus </w:t>
      </w:r>
      <w:proofErr w:type="gramStart"/>
      <w:r w:rsidRPr="00997B1C">
        <w:rPr>
          <w:rFonts w:ascii="Verdana" w:eastAsia="Times New Roman" w:hAnsi="Verdana" w:cs="Times New Roman"/>
          <w:color w:val="000000"/>
          <w:sz w:val="20"/>
          <w:szCs w:val="20"/>
          <w:lang w:eastAsia="pt-BR"/>
        </w:rPr>
        <w:t>à  certificação</w:t>
      </w:r>
      <w:proofErr w:type="gramEnd"/>
      <w:r w:rsidRPr="00997B1C">
        <w:rPr>
          <w:rFonts w:ascii="Verdana" w:eastAsia="Times New Roman" w:hAnsi="Verdana" w:cs="Times New Roman"/>
          <w:color w:val="000000"/>
          <w:sz w:val="20"/>
          <w:szCs w:val="20"/>
          <w:lang w:eastAsia="pt-BR"/>
        </w:rPr>
        <w:t xml:space="preserve"> correspondente ao nível de ensino não concluído.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4º - Tratando-se de aluno com altas habilidades/superdotação no campo acadêmico, que apresentem grande facilidade e rapidez no domínio de conceitos e procedimentos em todas as áreas do conhecimento (linguagens, matemática, ciências da natureza e ciências humanas), a unidade escolar poderá lhe oferecer oportunidades de vivência de atividades de aceleração de estudos, desde que:</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I - </w:t>
      </w:r>
      <w:proofErr w:type="gramStart"/>
      <w:r w:rsidRPr="00997B1C">
        <w:rPr>
          <w:rFonts w:ascii="Verdana" w:eastAsia="Times New Roman" w:hAnsi="Verdana" w:cs="Times New Roman"/>
          <w:color w:val="000000"/>
          <w:sz w:val="20"/>
          <w:szCs w:val="20"/>
          <w:lang w:eastAsia="pt-BR"/>
        </w:rPr>
        <w:t>os</w:t>
      </w:r>
      <w:proofErr w:type="gramEnd"/>
      <w:r w:rsidRPr="00997B1C">
        <w:rPr>
          <w:rFonts w:ascii="Verdana" w:eastAsia="Times New Roman" w:hAnsi="Verdana" w:cs="Times New Roman"/>
          <w:color w:val="000000"/>
          <w:sz w:val="20"/>
          <w:szCs w:val="20"/>
          <w:lang w:eastAsia="pt-BR"/>
        </w:rPr>
        <w:t xml:space="preserve"> índices de desempenho acadêmico alcançados pelo aluno nas avaliações escolares regulares, a que for rotineiramente submetido, destaquem-se pelo grau de excelência alcançado;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II - </w:t>
      </w:r>
      <w:proofErr w:type="gramStart"/>
      <w:r w:rsidRPr="00997B1C">
        <w:rPr>
          <w:rFonts w:ascii="Verdana" w:eastAsia="Times New Roman" w:hAnsi="Verdana" w:cs="Times New Roman"/>
          <w:color w:val="000000"/>
          <w:sz w:val="20"/>
          <w:szCs w:val="20"/>
          <w:lang w:eastAsia="pt-BR"/>
        </w:rPr>
        <w:t>o</w:t>
      </w:r>
      <w:proofErr w:type="gramEnd"/>
      <w:r w:rsidRPr="00997B1C">
        <w:rPr>
          <w:rFonts w:ascii="Verdana" w:eastAsia="Times New Roman" w:hAnsi="Verdana" w:cs="Times New Roman"/>
          <w:color w:val="000000"/>
          <w:sz w:val="20"/>
          <w:szCs w:val="20"/>
          <w:lang w:eastAsia="pt-BR"/>
        </w:rPr>
        <w:t xml:space="preserve"> atestado de avaliação psicológica do aluno, realizada por profissionais com formação acadêmica, experiência e/ou tradição na área de identificação dos alunos, de que trata esta resolução, comprove que, além das altas habilidades/superdotação, o aluno possui maturidade emocional compatível com a faixa etária da idade ou do ano/série escolar inicialmente indicado;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III- o parecer pedagógico emitido pela unidade escolar ateste o esgotamento e a ineficácia das oportunidades de enriquecimento curricular já vivenciadas pelo aluno, devidamente comprovados por relatório elaborado a partir de portfólio;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IV- </w:t>
      </w:r>
      <w:proofErr w:type="gramStart"/>
      <w:r w:rsidRPr="00997B1C">
        <w:rPr>
          <w:rFonts w:ascii="Verdana" w:eastAsia="Times New Roman" w:hAnsi="Verdana" w:cs="Times New Roman"/>
          <w:color w:val="000000"/>
          <w:sz w:val="20"/>
          <w:szCs w:val="20"/>
          <w:lang w:eastAsia="pt-BR"/>
        </w:rPr>
        <w:t>a</w:t>
      </w:r>
      <w:proofErr w:type="gramEnd"/>
      <w:r w:rsidRPr="00997B1C">
        <w:rPr>
          <w:rFonts w:ascii="Verdana" w:eastAsia="Times New Roman" w:hAnsi="Verdana" w:cs="Times New Roman"/>
          <w:color w:val="000000"/>
          <w:sz w:val="20"/>
          <w:szCs w:val="20"/>
          <w:lang w:eastAsia="pt-BR"/>
        </w:rPr>
        <w:t xml:space="preserve"> avaliação psicológica de maturidade </w:t>
      </w:r>
      <w:proofErr w:type="spellStart"/>
      <w:r w:rsidRPr="00997B1C">
        <w:rPr>
          <w:rFonts w:ascii="Verdana" w:eastAsia="Times New Roman" w:hAnsi="Verdana" w:cs="Times New Roman"/>
          <w:color w:val="000000"/>
          <w:sz w:val="20"/>
          <w:szCs w:val="20"/>
          <w:lang w:eastAsia="pt-BR"/>
        </w:rPr>
        <w:t>psico-emocional</w:t>
      </w:r>
      <w:proofErr w:type="spellEnd"/>
      <w:r w:rsidRPr="00997B1C">
        <w:rPr>
          <w:rFonts w:ascii="Verdana" w:eastAsia="Times New Roman" w:hAnsi="Verdana" w:cs="Times New Roman"/>
          <w:color w:val="000000"/>
          <w:sz w:val="20"/>
          <w:szCs w:val="20"/>
          <w:lang w:eastAsia="pt-BR"/>
        </w:rPr>
        <w:t> ou multiprofissional processada pela Diretoria de Ensino seja ratificada pelos pais do aluno, ou por seus responsáveis.</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5º - A solicitação de aceleração de estudos de aluno deverá ser formulada pelo pai ou responsável, ou pelo próprio aluno quando maior de idade, mediante requerimento dirigido à direção da unidade escolar, que se responsabilizará pelas orientações complementares que se fizerem necessárias.</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6º - Caberá à unidade escolar: </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I - </w:t>
      </w:r>
      <w:proofErr w:type="gramStart"/>
      <w:r w:rsidRPr="00997B1C">
        <w:rPr>
          <w:rFonts w:ascii="Verdana" w:eastAsia="Times New Roman" w:hAnsi="Verdana" w:cs="Times New Roman"/>
          <w:color w:val="000000"/>
          <w:sz w:val="20"/>
          <w:szCs w:val="20"/>
          <w:lang w:eastAsia="pt-BR"/>
        </w:rPr>
        <w:t>prever</w:t>
      </w:r>
      <w:proofErr w:type="gramEnd"/>
      <w:r w:rsidRPr="00997B1C">
        <w:rPr>
          <w:rFonts w:ascii="Verdana" w:eastAsia="Times New Roman" w:hAnsi="Verdana" w:cs="Times New Roman"/>
          <w:color w:val="000000"/>
          <w:sz w:val="20"/>
          <w:szCs w:val="20"/>
          <w:lang w:eastAsia="pt-BR"/>
        </w:rPr>
        <w:t xml:space="preserve"> em seu regimento interno e em seu projeto político-pedagógico as diretrizes operacionais da educação inclusiva;</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II - </w:t>
      </w:r>
      <w:proofErr w:type="gramStart"/>
      <w:r w:rsidRPr="00997B1C">
        <w:rPr>
          <w:rFonts w:ascii="Verdana" w:eastAsia="Times New Roman" w:hAnsi="Verdana" w:cs="Times New Roman"/>
          <w:color w:val="000000"/>
          <w:sz w:val="20"/>
          <w:szCs w:val="20"/>
          <w:lang w:eastAsia="pt-BR"/>
        </w:rPr>
        <w:t>realizar</w:t>
      </w:r>
      <w:proofErr w:type="gramEnd"/>
      <w:r w:rsidRPr="00997B1C">
        <w:rPr>
          <w:rFonts w:ascii="Verdana" w:eastAsia="Times New Roman" w:hAnsi="Verdana" w:cs="Times New Roman"/>
          <w:color w:val="000000"/>
          <w:sz w:val="20"/>
          <w:szCs w:val="20"/>
          <w:lang w:eastAsia="pt-BR"/>
        </w:rPr>
        <w:t xml:space="preserve"> a avaliação pedagógica, na conformidade das orientações a serem divulgadas oportunamente por esta Pasta;</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III - assegurar do Conselho de Classe ou de Série a emissão de parecer conclusivo a ser encaminhado à Diretoria de Ensino para manifestação e aprovação dos Supervisores de Ensino, da própria escola e do responsável pela Educação Especial, com homologação do Dirigente Regional de Ensino;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lastRenderedPageBreak/>
        <w:t xml:space="preserve">IV - matricular, no ano/série indicado no parecer devidamente homologado pelo Dirigente Regional de Ensino, até o final do 1º bimestre, os alunos da própria unidade escolar </w:t>
      </w:r>
      <w:proofErr w:type="gramStart"/>
      <w:r w:rsidRPr="00997B1C">
        <w:rPr>
          <w:rFonts w:ascii="Verdana" w:eastAsia="Times New Roman" w:hAnsi="Verdana" w:cs="Times New Roman"/>
          <w:color w:val="000000"/>
          <w:sz w:val="20"/>
          <w:szCs w:val="20"/>
          <w:lang w:eastAsia="pt-BR"/>
        </w:rPr>
        <w:t>e,  em</w:t>
      </w:r>
      <w:proofErr w:type="gramEnd"/>
      <w:r w:rsidRPr="00997B1C">
        <w:rPr>
          <w:rFonts w:ascii="Verdana" w:eastAsia="Times New Roman" w:hAnsi="Verdana" w:cs="Times New Roman"/>
          <w:color w:val="000000"/>
          <w:sz w:val="20"/>
          <w:szCs w:val="20"/>
          <w:lang w:eastAsia="pt-BR"/>
        </w:rPr>
        <w:t xml:space="preserve"> qualquer época do ano, os alunos transferidos de outras  escolas, apresentando ou não documentação comprobatória de  estudos anteriores;</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xml:space="preserve">V - </w:t>
      </w:r>
      <w:proofErr w:type="gramStart"/>
      <w:r w:rsidRPr="00997B1C">
        <w:rPr>
          <w:rFonts w:ascii="Verdana" w:eastAsia="Times New Roman" w:hAnsi="Verdana" w:cs="Times New Roman"/>
          <w:color w:val="000000"/>
          <w:sz w:val="20"/>
          <w:szCs w:val="20"/>
          <w:lang w:eastAsia="pt-BR"/>
        </w:rPr>
        <w:t>regularizar</w:t>
      </w:r>
      <w:proofErr w:type="gramEnd"/>
      <w:r w:rsidRPr="00997B1C">
        <w:rPr>
          <w:rFonts w:ascii="Verdana" w:eastAsia="Times New Roman" w:hAnsi="Verdana" w:cs="Times New Roman"/>
          <w:color w:val="000000"/>
          <w:sz w:val="20"/>
          <w:szCs w:val="20"/>
          <w:lang w:eastAsia="pt-BR"/>
        </w:rPr>
        <w:t xml:space="preserve"> o registro de rematrícula do aluno com altas habilidades/superdotação junto ao Sistema de Cadastro de Alunos do Estado.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7º - Caberá ao Grupo de Trabalho constituído por representantes da CAPE/CAESP/CGEB e aos gestores das Diretorias de Ensino, quando necessário, a análise e a tomada de decisão dos casos não previstos na presente resolução.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8º – Caberá à Coordenadoria de Gestão da Educação Básica –CGEB baixar instruções complementares que se façam necessárias ao cumprimento do disposto na presente resolução.</w:t>
      </w:r>
    </w:p>
    <w:p w:rsidR="00997B1C" w:rsidRPr="00997B1C" w:rsidRDefault="00997B1C" w:rsidP="00997B1C">
      <w:pPr>
        <w:spacing w:before="120" w:after="0" w:line="240" w:lineRule="auto"/>
        <w:ind w:firstLine="709"/>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Artigo 9º - Esta resolução entra em vigor na data de sua publicação.</w:t>
      </w:r>
    </w:p>
    <w:p w:rsidR="00997B1C" w:rsidRPr="00997B1C" w:rsidRDefault="00997B1C" w:rsidP="00997B1C">
      <w:pPr>
        <w:spacing w:after="0" w:line="240" w:lineRule="auto"/>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w:t>
      </w:r>
    </w:p>
    <w:p w:rsidR="00997B1C" w:rsidRPr="00997B1C" w:rsidRDefault="00997B1C" w:rsidP="00997B1C">
      <w:pPr>
        <w:spacing w:after="0" w:line="240" w:lineRule="auto"/>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Notas:</w:t>
      </w:r>
    </w:p>
    <w:p w:rsidR="00997B1C" w:rsidRPr="00997B1C" w:rsidRDefault="00997B1C" w:rsidP="00997B1C">
      <w:pPr>
        <w:spacing w:after="0" w:line="240" w:lineRule="auto"/>
        <w:jc w:val="both"/>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 </w:t>
      </w:r>
    </w:p>
    <w:p w:rsidR="00997B1C" w:rsidRPr="00997B1C" w:rsidRDefault="00997B1C" w:rsidP="00997B1C">
      <w:pPr>
        <w:spacing w:after="0" w:line="240" w:lineRule="auto"/>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Deliberação CEE/CEB nº 68/07;</w:t>
      </w:r>
    </w:p>
    <w:p w:rsidR="00997B1C" w:rsidRPr="00997B1C" w:rsidRDefault="00997B1C" w:rsidP="00997B1C">
      <w:pPr>
        <w:spacing w:after="0" w:line="240" w:lineRule="auto"/>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Lei nº 9.394/96;</w:t>
      </w:r>
    </w:p>
    <w:p w:rsidR="00997B1C" w:rsidRPr="00997B1C" w:rsidRDefault="00997B1C" w:rsidP="00997B1C">
      <w:pPr>
        <w:spacing w:after="0" w:line="240" w:lineRule="auto"/>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Parecer CNE/CEB nº 17/01;</w:t>
      </w:r>
    </w:p>
    <w:p w:rsidR="00997B1C" w:rsidRPr="00997B1C" w:rsidRDefault="00997B1C" w:rsidP="00997B1C">
      <w:pPr>
        <w:spacing w:after="0" w:line="240" w:lineRule="auto"/>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Res. CNE/CEB nº 4/09;</w:t>
      </w:r>
    </w:p>
    <w:p w:rsidR="00997B1C" w:rsidRPr="00997B1C" w:rsidRDefault="00997B1C" w:rsidP="00997B1C">
      <w:pPr>
        <w:spacing w:after="0" w:line="240" w:lineRule="auto"/>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Res. CNE/CEB nº 2/01;</w:t>
      </w:r>
    </w:p>
    <w:p w:rsidR="00997B1C" w:rsidRPr="00997B1C" w:rsidRDefault="00997B1C" w:rsidP="00997B1C">
      <w:pPr>
        <w:spacing w:after="0" w:line="240" w:lineRule="auto"/>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Res. SE nº 11/08;</w:t>
      </w:r>
    </w:p>
    <w:p w:rsidR="00997B1C" w:rsidRPr="00997B1C" w:rsidRDefault="00997B1C" w:rsidP="00997B1C">
      <w:pPr>
        <w:spacing w:after="0" w:line="240" w:lineRule="auto"/>
        <w:rPr>
          <w:rFonts w:ascii="Calibri" w:eastAsia="Times New Roman" w:hAnsi="Calibri" w:cs="Times New Roman"/>
          <w:color w:val="000000"/>
          <w:lang w:eastAsia="pt-BR"/>
        </w:rPr>
      </w:pPr>
      <w:r w:rsidRPr="00997B1C">
        <w:rPr>
          <w:rFonts w:ascii="Verdana" w:eastAsia="Times New Roman" w:hAnsi="Verdana" w:cs="Times New Roman"/>
          <w:color w:val="000000"/>
          <w:sz w:val="20"/>
          <w:szCs w:val="20"/>
          <w:lang w:eastAsia="pt-BR"/>
        </w:rPr>
        <w:t>Res. SE nº 31/08.</w:t>
      </w:r>
    </w:p>
    <w:p w:rsidR="00997B1C" w:rsidRPr="00997B1C" w:rsidRDefault="00997B1C" w:rsidP="00997B1C">
      <w:pPr>
        <w:spacing w:after="200" w:line="253" w:lineRule="atLeast"/>
        <w:rPr>
          <w:rFonts w:ascii="Calibri" w:eastAsia="Times New Roman" w:hAnsi="Calibri" w:cs="Times New Roman"/>
          <w:color w:val="000000"/>
          <w:lang w:eastAsia="pt-BR"/>
        </w:rPr>
      </w:pPr>
      <w:r w:rsidRPr="00997B1C">
        <w:rPr>
          <w:rFonts w:ascii="Verdana" w:eastAsia="Times New Roman" w:hAnsi="Verdana" w:cs="Times New Roman"/>
          <w:color w:val="000000"/>
          <w:lang w:eastAsia="pt-BR"/>
        </w:rPr>
        <w:t> </w:t>
      </w:r>
    </w:p>
    <w:p w:rsidR="00B9514C" w:rsidRDefault="00B9514C">
      <w:bookmarkStart w:id="0" w:name="_GoBack"/>
      <w:bookmarkEnd w:id="0"/>
    </w:p>
    <w:sectPr w:rsidR="00B951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1C"/>
    <w:rsid w:val="00997B1C"/>
    <w:rsid w:val="00B951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A401E-1FAF-4195-9645-5B3E31FF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pelle">
    <w:name w:val="spelle"/>
    <w:basedOn w:val="Fontepargpadro"/>
    <w:rsid w:val="00997B1C"/>
  </w:style>
  <w:style w:type="character" w:customStyle="1" w:styleId="grame">
    <w:name w:val="grame"/>
    <w:basedOn w:val="Fontepargpadro"/>
    <w:rsid w:val="0099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0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1169</Words>
  <Characters>6314</Characters>
  <Application>Microsoft Office Word</Application>
  <DocSecurity>0</DocSecurity>
  <Lines>52</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APEOESP</dc:creator>
  <cp:keywords/>
  <dc:description/>
  <cp:lastModifiedBy>APEOESP</cp:lastModifiedBy>
  <cp:revision>1</cp:revision>
  <dcterms:created xsi:type="dcterms:W3CDTF">2018-08-24T13:16:00Z</dcterms:created>
  <dcterms:modified xsi:type="dcterms:W3CDTF">2018-08-24T13:18:00Z</dcterms:modified>
</cp:coreProperties>
</file>